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iClay 61H</w:t>
      </w:r>
    </w:p>
    <w:p>
      <w:pPr>
        <w:jc w:val="center"/>
      </w:pPr>
      <w:r>
        <w:rPr>
          <w:i/>
          <w:sz w:val="24"/>
        </w:rPr>
        <w:t>Automotive Styling Clay | Technical Data Sheet</w:t>
      </w:r>
    </w:p>
    <w:p>
      <w:r>
        <w:rPr>
          <w:b/>
          <w:color w:val="B40000"/>
          <w:sz w:val="28"/>
        </w:rPr>
        <w:t>Product Description</w:t>
      </w:r>
    </w:p>
    <w:p>
      <w:r>
        <w:t>iClay 61H is a high-hardness automotive styling clay formulated with synthetic waxes, oils and mineral fillers. It provides excellent surface definition, dimensional stability and machining performance for advanced styling models.</w:t>
      </w:r>
    </w:p>
    <w:p>
      <w:r>
        <w:rPr>
          <w:b/>
          <w:color w:val="B40000"/>
          <w:sz w:val="28"/>
        </w:rPr>
        <w:t>Applications</w:t>
      </w:r>
    </w:p>
    <w:p>
      <w:r>
        <w:t>Automotive styling models</w:t>
        <w:br/>
        <w:t>Transportation concept models</w:t>
        <w:br/>
        <w:t>Industrial design prototypes</w:t>
        <w:br/>
        <w:t>Appearance verification models</w:t>
      </w:r>
    </w:p>
    <w:p>
      <w:r>
        <w:rPr>
          <w:b/>
          <w:color w:val="B40000"/>
          <w:sz w:val="28"/>
        </w:rPr>
        <w:t>Key Features</w:t>
      </w:r>
    </w:p>
    <w:p>
      <w:r>
        <w:t>• Fine texture and smooth surface finish</w:t>
        <w:br/>
        <w:t>• Excellent carving and machining behavior</w:t>
        <w:br/>
        <w:t>• High plasticity</w:t>
        <w:br/>
        <w:t>• Suitable for CNC machining and precision refinement</w:t>
        <w:br/>
        <w:t>• Stable long-term properties</w:t>
      </w:r>
    </w:p>
    <w:p>
      <w:r>
        <w:rPr>
          <w:b/>
          <w:color w:val="B40000"/>
          <w:sz w:val="28"/>
        </w:rPr>
        <w:t>Technical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Property</w:t>
            </w:r>
          </w:p>
        </w:tc>
        <w:tc>
          <w:tcPr>
            <w:tcW w:type="dxa" w:w="3408"/>
          </w:tcPr>
          <w:p>
            <w:r>
              <w:t>Test Method</w:t>
            </w:r>
          </w:p>
        </w:tc>
        <w:tc>
          <w:tcPr>
            <w:tcW w:type="dxa" w:w="3408"/>
          </w:tcPr>
          <w:p>
            <w:r>
              <w:t>Specification</w:t>
            </w:r>
          </w:p>
        </w:tc>
      </w:tr>
      <w:tr>
        <w:tc>
          <w:tcPr>
            <w:tcW w:type="dxa" w:w="3408"/>
          </w:tcPr>
          <w:p>
            <w:r>
              <w:t>Appearance</w:t>
            </w:r>
          </w:p>
        </w:tc>
        <w:tc>
          <w:tcPr>
            <w:tcW w:type="dxa" w:w="3408"/>
          </w:tcPr>
          <w:p>
            <w:r>
              <w:t>Visual inspection</w:t>
            </w:r>
          </w:p>
        </w:tc>
        <w:tc>
          <w:tcPr>
            <w:tcW w:type="dxa" w:w="3408"/>
          </w:tcPr>
          <w:p>
            <w:r>
              <w:t>Uniform color, smooth texture, no particles</w:t>
            </w:r>
          </w:p>
        </w:tc>
      </w:tr>
      <w:tr>
        <w:tc>
          <w:tcPr>
            <w:tcW w:type="dxa" w:w="3408"/>
          </w:tcPr>
          <w:p>
            <w:r>
              <w:t>Color</w:t>
            </w:r>
          </w:p>
        </w:tc>
        <w:tc>
          <w:tcPr>
            <w:tcW w:type="dxa" w:w="3408"/>
          </w:tcPr>
          <w:p>
            <w:r>
              <w:t>Visual inspection</w:t>
            </w:r>
          </w:p>
        </w:tc>
        <w:tc>
          <w:tcPr>
            <w:tcW w:type="dxa" w:w="3408"/>
          </w:tcPr>
          <w:p>
            <w:r>
              <w:t>Dark brown</w:t>
            </w:r>
          </w:p>
        </w:tc>
      </w:tr>
      <w:tr>
        <w:tc>
          <w:tcPr>
            <w:tcW w:type="dxa" w:w="3408"/>
          </w:tcPr>
          <w:p>
            <w:r>
              <w:t>Density (g/cm³)</w:t>
            </w:r>
          </w:p>
        </w:tc>
        <w:tc>
          <w:tcPr>
            <w:tcW w:type="dxa" w:w="3408"/>
          </w:tcPr>
          <w:p>
            <w:r>
              <w:t>GB 4472-84</w:t>
            </w:r>
          </w:p>
        </w:tc>
        <w:tc>
          <w:tcPr>
            <w:tcW w:type="dxa" w:w="3408"/>
          </w:tcPr>
          <w:p>
            <w:r>
              <w:t>≤1.1</w:t>
            </w:r>
          </w:p>
        </w:tc>
      </w:tr>
      <w:tr>
        <w:tc>
          <w:tcPr>
            <w:tcW w:type="dxa" w:w="3408"/>
          </w:tcPr>
          <w:p>
            <w:r>
              <w:t>Hardness (23°C)</w:t>
            </w:r>
          </w:p>
        </w:tc>
        <w:tc>
          <w:tcPr>
            <w:tcW w:type="dxa" w:w="3408"/>
          </w:tcPr>
          <w:p>
            <w:r>
              <w:t>Shore C</w:t>
            </w:r>
          </w:p>
        </w:tc>
        <w:tc>
          <w:tcPr>
            <w:tcW w:type="dxa" w:w="3408"/>
          </w:tcPr>
          <w:p>
            <w:r>
              <w:t>83-90</w:t>
            </w:r>
          </w:p>
        </w:tc>
      </w:tr>
      <w:tr>
        <w:tc>
          <w:tcPr>
            <w:tcW w:type="dxa" w:w="3408"/>
          </w:tcPr>
          <w:p>
            <w:r>
              <w:t>Hardness (60°C)</w:t>
            </w:r>
          </w:p>
        </w:tc>
        <w:tc>
          <w:tcPr>
            <w:tcW w:type="dxa" w:w="3408"/>
          </w:tcPr>
          <w:p>
            <w:r>
              <w:t>Shore C</w:t>
            </w:r>
          </w:p>
        </w:tc>
        <w:tc>
          <w:tcPr>
            <w:tcW w:type="dxa" w:w="3408"/>
          </w:tcPr>
          <w:p>
            <w:r>
              <w:t>0</w:t>
            </w:r>
          </w:p>
        </w:tc>
      </w:tr>
      <w:tr>
        <w:tc>
          <w:tcPr>
            <w:tcW w:type="dxa" w:w="3408"/>
          </w:tcPr>
          <w:p>
            <w:r>
              <w:t>Recovered hardness (23°C/30min)</w:t>
            </w:r>
          </w:p>
        </w:tc>
        <w:tc>
          <w:tcPr>
            <w:tcW w:type="dxa" w:w="3408"/>
          </w:tcPr>
          <w:p>
            <w:r>
              <w:t>Shore C</w:t>
            </w:r>
          </w:p>
        </w:tc>
        <w:tc>
          <w:tcPr>
            <w:tcW w:type="dxa" w:w="3408"/>
          </w:tcPr>
          <w:p>
            <w:r>
              <w:t>60-75</w:t>
            </w:r>
          </w:p>
        </w:tc>
      </w:tr>
      <w:tr>
        <w:tc>
          <w:tcPr>
            <w:tcW w:type="dxa" w:w="3408"/>
          </w:tcPr>
          <w:p>
            <w:r>
              <w:t>Linear shrinkage (0-60°C)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>
              <w:t>&lt;2.8×10⁻⁴ K⁻¹</w:t>
            </w:r>
          </w:p>
        </w:tc>
      </w:tr>
      <w:tr>
        <w:tc>
          <w:tcPr>
            <w:tcW w:type="dxa" w:w="3408"/>
          </w:tcPr>
          <w:p>
            <w:r>
              <w:t>Shelf life</w:t>
            </w:r>
          </w:p>
        </w:tc>
        <w:tc>
          <w:tcPr>
            <w:tcW w:type="dxa" w:w="3408"/>
          </w:tcPr>
          <w:p>
            <w:r/>
          </w:p>
        </w:tc>
        <w:tc>
          <w:tcPr>
            <w:tcW w:type="dxa" w:w="3408"/>
          </w:tcPr>
          <w:p>
            <w:r>
              <w:t>2 years</w:t>
            </w:r>
          </w:p>
        </w:tc>
      </w:tr>
    </w:tbl>
    <w:p>
      <w:r>
        <w:rPr>
          <w:b/>
          <w:color w:val="B40000"/>
          <w:sz w:val="28"/>
        </w:rPr>
        <w:t>Hardness-Temperature Behavior</w:t>
      </w:r>
    </w:p>
    <w:p>
      <w:r>
        <w:t>A cylindrical specimen was heated at 60°C and then cooled under 23°C room temperature conditions.</w:t>
      </w:r>
    </w:p>
    <w:p>
      <w:r>
        <w:rPr>
          <w:b/>
          <w:color w:val="B40000"/>
          <w:sz w:val="28"/>
        </w:rPr>
        <w:t>Processing Guidelines</w:t>
      </w:r>
    </w:p>
    <w:p>
      <w:r>
        <w:t>Heat at approximately 55-60°C for 1-3 hours. Apply onto the model armature. After cooling, perform carving, trimming and surface refinement.</w:t>
      </w:r>
    </w:p>
    <w:p>
      <w:r>
        <w:rPr>
          <w:b/>
          <w:color w:val="B40000"/>
          <w:sz w:val="28"/>
        </w:rPr>
        <w:t>Packaging</w:t>
      </w:r>
    </w:p>
    <w:p>
      <w:r>
        <w:t>Rod size: 270(±0.5) mm × Ø55 mm</w:t>
        <w:br/>
        <w:t>Packing: 15 rods/carton</w:t>
      </w:r>
    </w:p>
    <w:p>
      <w:r>
        <w:rPr>
          <w:b/>
          <w:color w:val="B40000"/>
          <w:sz w:val="28"/>
        </w:rPr>
        <w:t>Storage</w:t>
      </w:r>
    </w:p>
    <w:p>
      <w:r>
        <w:t>Store in a dry and cool place. Storage temperature: 10-25°C. Relative humidity: 0-50%.</w:t>
      </w:r>
    </w:p>
    <w:p>
      <w:r>
        <w:rPr>
          <w:b/>
          <w:color w:val="B40000"/>
          <w:sz w:val="28"/>
        </w:rPr>
        <w:t>Safety Precautions</w:t>
      </w:r>
    </w:p>
    <w:p>
      <w:r>
        <w:t>Do not heat above 60°C. Avoid skin contact with hot material. Keep away from ignition sources.</w:t>
      </w:r>
    </w:p>
    <w:p>
      <w:r>
        <w:rPr>
          <w:b/>
          <w:color w:val="B40000"/>
          <w:sz w:val="28"/>
        </w:rPr>
        <w:t>Notes</w:t>
      </w:r>
    </w:p>
    <w:p>
      <w:r>
        <w:t>Technical data are measured under specified conditions. Customers should conduct application testing before use.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